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6143"/>
      </w:tblGrid>
      <w:tr w:rsidR="00EA3ECA" w:rsidTr="00E070F1">
        <w:trPr>
          <w:trHeight w:val="2268"/>
        </w:trPr>
        <w:tc>
          <w:tcPr>
            <w:tcW w:w="9026" w:type="dxa"/>
            <w:gridSpan w:val="2"/>
          </w:tcPr>
          <w:p w:rsidR="0097587A" w:rsidRPr="00EA3ECA" w:rsidRDefault="00763C8D" w:rsidP="001F084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5731510" cy="1021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kup hea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98" cy="10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ECA" w:rsidTr="00E070F1">
        <w:tc>
          <w:tcPr>
            <w:tcW w:w="9026" w:type="dxa"/>
            <w:gridSpan w:val="2"/>
          </w:tcPr>
          <w:p w:rsidR="00A829CA" w:rsidRPr="00F469DF" w:rsidRDefault="005A425A" w:rsidP="005A425A">
            <w:pPr>
              <w:jc w:val="center"/>
              <w:rPr>
                <w:rFonts w:cstheme="minorHAnsi"/>
                <w:b/>
                <w:color w:val="D60B52"/>
                <w:sz w:val="36"/>
              </w:rPr>
            </w:pPr>
            <w:r w:rsidRPr="00F469DF">
              <w:rPr>
                <w:rFonts w:cstheme="minorHAnsi"/>
                <w:b/>
                <w:color w:val="D60B52"/>
                <w:sz w:val="36"/>
              </w:rPr>
              <w:t>CALL FOR PAPERS</w:t>
            </w:r>
          </w:p>
        </w:tc>
      </w:tr>
      <w:tr w:rsidR="00EA3ECA" w:rsidTr="00D44299">
        <w:tc>
          <w:tcPr>
            <w:tcW w:w="9026" w:type="dxa"/>
            <w:gridSpan w:val="2"/>
          </w:tcPr>
          <w:p w:rsidR="00EA3ECA" w:rsidRPr="00AD7639" w:rsidRDefault="00EA3ECA" w:rsidP="00AD76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A3ECA" w:rsidRPr="00F469DF" w:rsidTr="00D44299">
        <w:tc>
          <w:tcPr>
            <w:tcW w:w="9026" w:type="dxa"/>
            <w:gridSpan w:val="2"/>
          </w:tcPr>
          <w:p w:rsidR="005B1399" w:rsidRPr="00F469DF" w:rsidRDefault="005B1399" w:rsidP="005B1399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We’re looking for examples of best practice in technology enabled care (TEC) to showcase at TSA’s annual conference. Over </w:t>
            </w:r>
            <w:r w:rsidR="00B26C79" w:rsidRPr="00F469DF">
              <w:rPr>
                <w:rFonts w:asciiTheme="minorHAnsi" w:hAnsiTheme="minorHAnsi" w:cstheme="minorHAnsi"/>
                <w:sz w:val="22"/>
                <w:szCs w:val="22"/>
              </w:rPr>
              <w:t>850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 delegates from the health, social care and housing sectors will be attending so this is a great platform to raise awareness of your work.</w:t>
            </w:r>
          </w:p>
          <w:p w:rsidR="005B1399" w:rsidRPr="00F469DF" w:rsidRDefault="005B1399" w:rsidP="005B1399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Are you able to present to a conference audience for 15 minutes about a recent project and talk about results from an analysis or evaluation?</w:t>
            </w:r>
          </w:p>
          <w:p w:rsidR="005B1399" w:rsidRPr="00F469DF" w:rsidRDefault="005B1399" w:rsidP="005B1399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5A425A"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so 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you may be interested in submitting a proposal for the 201</w:t>
            </w:r>
            <w:r w:rsidR="00960D3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 International Technology Enabled Care Conference. TSA`s annual conference takes place on the 1</w:t>
            </w:r>
            <w:r w:rsidR="00960D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th &amp; 1</w:t>
            </w:r>
            <w:r w:rsidR="00960D3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th Octo</w:t>
            </w:r>
            <w:r w:rsidR="00E43E82">
              <w:rPr>
                <w:rFonts w:asciiTheme="minorHAnsi" w:hAnsiTheme="minorHAnsi" w:cstheme="minorHAnsi"/>
                <w:sz w:val="22"/>
                <w:szCs w:val="22"/>
              </w:rPr>
              <w:t xml:space="preserve">ber at the ICC, Birmingham. Our conference 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theme this year is </w:t>
            </w:r>
            <w:r w:rsidRPr="00F469DF">
              <w:rPr>
                <w:rFonts w:asciiTheme="minorHAnsi" w:hAnsiTheme="minorHAnsi" w:cstheme="minorHAnsi"/>
                <w:b/>
                <w:sz w:val="22"/>
                <w:szCs w:val="22"/>
              </w:rPr>
              <w:t>‘</w:t>
            </w:r>
            <w:r w:rsidR="00763C8D">
              <w:rPr>
                <w:rFonts w:asciiTheme="minorHAnsi" w:hAnsiTheme="minorHAnsi" w:cstheme="minorHAnsi"/>
                <w:b/>
                <w:sz w:val="22"/>
                <w:szCs w:val="22"/>
              </w:rPr>
              <w:t>Citizen Powered Communities</w:t>
            </w:r>
            <w:r w:rsidRPr="00F469DF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="00E43E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5151E" w:rsidRPr="006C0C7C" w:rsidRDefault="0055151E" w:rsidP="00551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C0C7C">
              <w:rPr>
                <w:rFonts w:asciiTheme="minorHAnsi" w:hAnsiTheme="minorHAnsi" w:cstheme="minorHAnsi"/>
                <w:sz w:val="22"/>
                <w:szCs w:val="22"/>
              </w:rPr>
              <w:t>themes for which we are accepting submissions are:</w:t>
            </w:r>
          </w:p>
          <w:p w:rsidR="00960D38" w:rsidRPr="006C0C7C" w:rsidRDefault="00960D38" w:rsidP="00551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C7C" w:rsidRPr="006C0C7C" w:rsidRDefault="006C0C7C" w:rsidP="006C0C7C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b/>
                <w:bCs/>
                <w:color w:val="000000"/>
              </w:rPr>
            </w:pPr>
            <w:r w:rsidRPr="006C0C7C">
              <w:rPr>
                <w:b/>
                <w:bCs/>
                <w:color w:val="000000"/>
              </w:rPr>
              <w:t>Citizen Powered Proactive services</w:t>
            </w:r>
            <w:r w:rsidRPr="006C0C7C">
              <w:rPr>
                <w:b/>
                <w:bCs/>
                <w:color w:val="000000"/>
              </w:rPr>
              <w:br/>
            </w:r>
            <w:r w:rsidRPr="006C0C7C">
              <w:rPr>
                <w:color w:val="000000"/>
              </w:rPr>
              <w:t xml:space="preserve">Practical examples of how NHS, social care and housing organisations are redesigning and commissioning care and support services to be more person-centred and outcomes focused. Offering better support for carers and families and to position the right care at the right time for more cost-effective delivery of social care and health services. </w:t>
            </w:r>
            <w:r w:rsidR="005F6ADF" w:rsidRPr="005F6ADF">
              <w:rPr>
                <w:color w:val="000000"/>
              </w:rPr>
              <w:t>Can you also demonstrate how you are empowering your workforce to deliver your ambitions</w:t>
            </w:r>
            <w:r w:rsidR="005F6ADF">
              <w:rPr>
                <w:color w:val="000000"/>
              </w:rPr>
              <w:t>?</w:t>
            </w:r>
            <w:r w:rsidRPr="006C0C7C">
              <w:rPr>
                <w:color w:val="000000"/>
              </w:rPr>
              <w:br/>
            </w:r>
          </w:p>
          <w:p w:rsidR="006C0C7C" w:rsidRPr="006C0C7C" w:rsidRDefault="006C0C7C" w:rsidP="006C0C7C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eastAsia="Times New Roman"/>
                <w:b/>
                <w:color w:val="000000"/>
              </w:rPr>
            </w:pPr>
            <w:r w:rsidRPr="006C0C7C">
              <w:rPr>
                <w:b/>
                <w:bCs/>
                <w:color w:val="000000"/>
              </w:rPr>
              <w:t xml:space="preserve">Citizen Powered Technological enablement </w:t>
            </w:r>
            <w:r w:rsidRPr="006C0C7C">
              <w:rPr>
                <w:b/>
                <w:bCs/>
                <w:color w:val="000000"/>
              </w:rPr>
              <w:br/>
            </w:r>
            <w:r w:rsidRPr="006C0C7C">
              <w:rPr>
                <w:color w:val="000000"/>
              </w:rPr>
              <w:t xml:space="preserve">Can you demonstrate how your, person-centred and outcomes focused, digital solution is leading the way and emerging as a digital exemplar, maybe through the use of technology and/or data as a key enabler to support increased independence and future-proof services. </w:t>
            </w:r>
          </w:p>
          <w:p w:rsidR="006C0C7C" w:rsidRPr="006C0C7C" w:rsidRDefault="006C0C7C" w:rsidP="006C0C7C">
            <w:pPr>
              <w:numPr>
                <w:ilvl w:val="0"/>
                <w:numId w:val="12"/>
              </w:numPr>
              <w:rPr>
                <w:rFonts w:eastAsia="Times New Roman"/>
                <w:b/>
              </w:rPr>
            </w:pPr>
            <w:r w:rsidRPr="006C0C7C">
              <w:rPr>
                <w:rFonts w:eastAsia="Times New Roman"/>
                <w:b/>
              </w:rPr>
              <w:t>Citizen Powered Markets</w:t>
            </w:r>
          </w:p>
          <w:p w:rsidR="006C0C7C" w:rsidRPr="006C0C7C" w:rsidRDefault="006C0C7C" w:rsidP="006C0C7C">
            <w:pPr>
              <w:spacing w:line="252" w:lineRule="auto"/>
              <w:ind w:left="720"/>
              <w:rPr>
                <w:color w:val="000000"/>
              </w:rPr>
            </w:pPr>
            <w:r w:rsidRPr="006C0C7C">
              <w:rPr>
                <w:color w:val="000000"/>
              </w:rPr>
              <w:t>Can you demonstrate how rapidly developing digital technologies can be made available more widely to help a greater number of people to manage their health &amp; wellbeing, offering reassurances to users and reducing the pressures on the NHS, housing and social care.</w:t>
            </w:r>
          </w:p>
          <w:p w:rsidR="005B1399" w:rsidRPr="00F469DF" w:rsidRDefault="005B1399" w:rsidP="005B1399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C0C7C">
              <w:rPr>
                <w:rFonts w:asciiTheme="minorHAnsi" w:eastAsiaTheme="minorHAnsi" w:hAnsiTheme="minorHAnsi" w:cstheme="minorHAnsi"/>
                <w:b/>
                <w:color w:val="D60B52"/>
                <w:sz w:val="22"/>
                <w:szCs w:val="22"/>
                <w:lang w:eastAsia="en-US"/>
              </w:rPr>
              <w:t>Submission Instructions</w:t>
            </w:r>
            <w:r w:rsidR="00F469DF" w:rsidRPr="006C0C7C">
              <w:rPr>
                <w:rFonts w:asciiTheme="minorHAnsi" w:eastAsiaTheme="minorHAnsi" w:hAnsiTheme="minorHAnsi" w:cstheme="minorHAnsi"/>
                <w:b/>
                <w:color w:val="D60B52"/>
                <w:sz w:val="22"/>
                <w:szCs w:val="22"/>
                <w:lang w:eastAsia="en-US"/>
              </w:rPr>
              <w:t xml:space="preserve">: </w:t>
            </w:r>
            <w:r w:rsidR="00F469DF" w:rsidRPr="006C0C7C">
              <w:rPr>
                <w:rFonts w:asciiTheme="minorHAnsi" w:eastAsiaTheme="minorHAnsi" w:hAnsiTheme="minorHAnsi" w:cstheme="minorHAnsi"/>
                <w:b/>
                <w:color w:val="D60B52"/>
                <w:sz w:val="22"/>
                <w:szCs w:val="22"/>
                <w:lang w:eastAsia="en-US"/>
              </w:rPr>
              <w:br/>
            </w:r>
            <w:r w:rsidRPr="006C0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submit a short summary (up to 500 words)</w:t>
            </w:r>
            <w:r w:rsidR="00732149" w:rsidRPr="006C0C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your project</w:t>
            </w:r>
            <w:r w:rsidRPr="00F46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You can also attach a pdf</w:t>
            </w:r>
            <w:r w:rsidR="00DE3047" w:rsidRPr="00F46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an evaluation</w:t>
            </w:r>
            <w:r w:rsidRPr="00F46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but a summary must be included.</w:t>
            </w:r>
          </w:p>
          <w:p w:rsidR="0055151E" w:rsidRDefault="005B1399" w:rsidP="005B1399">
            <w:pPr>
              <w:rPr>
                <w:rFonts w:cstheme="minorHAnsi"/>
                <w:color w:val="000000" w:themeColor="text1"/>
              </w:rPr>
            </w:pPr>
            <w:r w:rsidRPr="00F469DF">
              <w:rPr>
                <w:rFonts w:cstheme="minorHAnsi"/>
                <w:color w:val="000000" w:themeColor="text1"/>
              </w:rPr>
              <w:t>Product/service presentations from manufacturers and suppliers are also acceptable</w:t>
            </w:r>
            <w:r w:rsidR="00732149" w:rsidRPr="00F469DF">
              <w:rPr>
                <w:rFonts w:cstheme="minorHAnsi"/>
                <w:color w:val="000000" w:themeColor="text1"/>
              </w:rPr>
              <w:t xml:space="preserve"> as long as they </w:t>
            </w:r>
            <w:r w:rsidRPr="00F469DF">
              <w:rPr>
                <w:rFonts w:cstheme="minorHAnsi"/>
                <w:color w:val="000000" w:themeColor="text1"/>
              </w:rPr>
              <w:t xml:space="preserve">include </w:t>
            </w:r>
            <w:r w:rsidR="00732149" w:rsidRPr="00F469DF">
              <w:rPr>
                <w:rFonts w:cstheme="minorHAnsi"/>
                <w:color w:val="000000" w:themeColor="text1"/>
              </w:rPr>
              <w:t>an evaluation</w:t>
            </w:r>
            <w:r w:rsidRPr="00F469DF">
              <w:rPr>
                <w:rFonts w:cstheme="minorHAnsi"/>
                <w:color w:val="000000" w:themeColor="text1"/>
              </w:rPr>
              <w:t>.</w:t>
            </w:r>
          </w:p>
          <w:p w:rsidR="00EE0E9D" w:rsidRDefault="00EE0E9D" w:rsidP="005B1399">
            <w:pPr>
              <w:rPr>
                <w:rFonts w:cstheme="minorHAnsi"/>
                <w:color w:val="000000" w:themeColor="text1"/>
              </w:rPr>
            </w:pPr>
          </w:p>
          <w:p w:rsidR="00EE0E9D" w:rsidRPr="00F469DF" w:rsidRDefault="00EE0E9D" w:rsidP="005B139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 selected number of submissions may be selected to be written up as a case study and featured on the TSA website and at the TSA conference.</w:t>
            </w:r>
          </w:p>
          <w:p w:rsidR="00F87986" w:rsidRPr="00F469DF" w:rsidRDefault="00F87986" w:rsidP="005B1399">
            <w:pPr>
              <w:rPr>
                <w:rFonts w:cstheme="minorHAnsi"/>
                <w:color w:val="000000" w:themeColor="text1"/>
              </w:rPr>
            </w:pPr>
          </w:p>
          <w:p w:rsidR="00F87986" w:rsidRPr="00F469DF" w:rsidRDefault="00F87986" w:rsidP="005B1399">
            <w:pPr>
              <w:rPr>
                <w:rFonts w:cstheme="minorHAnsi"/>
                <w:b/>
                <w:color w:val="D60B52"/>
              </w:rPr>
            </w:pPr>
            <w:r w:rsidRPr="00F469DF">
              <w:rPr>
                <w:rFonts w:cstheme="minorHAnsi"/>
                <w:b/>
                <w:color w:val="D60B52"/>
              </w:rPr>
              <w:t>H</w:t>
            </w:r>
            <w:r w:rsidR="00F469DF">
              <w:rPr>
                <w:rFonts w:cstheme="minorHAnsi"/>
                <w:b/>
                <w:color w:val="D60B52"/>
              </w:rPr>
              <w:t>ow To Apply:</w:t>
            </w:r>
          </w:p>
          <w:p w:rsidR="008135FB" w:rsidRPr="00F469DF" w:rsidRDefault="00F87986" w:rsidP="005B1399">
            <w:pPr>
              <w:rPr>
                <w:rFonts w:cstheme="minorHAnsi"/>
                <w:color w:val="000000" w:themeColor="text1"/>
              </w:rPr>
            </w:pPr>
            <w:r w:rsidRPr="00F469DF">
              <w:rPr>
                <w:rFonts w:cstheme="minorHAnsi"/>
                <w:color w:val="000000" w:themeColor="text1"/>
              </w:rPr>
              <w:t>For Further information and to download the submission form please visit:</w:t>
            </w:r>
            <w:r w:rsidR="008135FB" w:rsidRPr="00F469DF">
              <w:rPr>
                <w:rFonts w:cstheme="minorHAnsi"/>
                <w:color w:val="000000" w:themeColor="text1"/>
              </w:rPr>
              <w:t xml:space="preserve"> </w:t>
            </w:r>
            <w:hyperlink r:id="rId8" w:history="1">
              <w:r w:rsidR="008135FB" w:rsidRPr="00F469DF">
                <w:rPr>
                  <w:rStyle w:val="Hyperlink"/>
                  <w:rFonts w:cstheme="minorHAnsi"/>
                </w:rPr>
                <w:t>http://itecconf.org.uk/call-for-papers/</w:t>
              </w:r>
            </w:hyperlink>
            <w:r w:rsidR="008135FB" w:rsidRPr="00F469DF">
              <w:rPr>
                <w:rFonts w:cstheme="minorHAnsi"/>
                <w:color w:val="000000" w:themeColor="text1"/>
              </w:rPr>
              <w:t xml:space="preserve"> </w:t>
            </w:r>
          </w:p>
          <w:p w:rsidR="002D20BD" w:rsidRPr="00F469DF" w:rsidRDefault="002D20BD" w:rsidP="008F283F">
            <w:pPr>
              <w:rPr>
                <w:rFonts w:cstheme="minorHAnsi"/>
                <w:b/>
                <w:color w:val="000000" w:themeColor="text1"/>
              </w:rPr>
            </w:pPr>
          </w:p>
          <w:p w:rsidR="00EA3ECA" w:rsidRPr="00F469DF" w:rsidRDefault="0055151E" w:rsidP="008F283F">
            <w:pPr>
              <w:rPr>
                <w:rFonts w:cstheme="minorHAnsi"/>
                <w:b/>
                <w:color w:val="000000" w:themeColor="text1"/>
              </w:rPr>
            </w:pPr>
            <w:r w:rsidRPr="00F469DF">
              <w:rPr>
                <w:rFonts w:cstheme="minorHAnsi"/>
                <w:b/>
                <w:color w:val="000000" w:themeColor="text1"/>
              </w:rPr>
              <w:t xml:space="preserve">The deadline for submissions is 17:00 on Friday </w:t>
            </w:r>
            <w:r w:rsidR="00763C8D">
              <w:rPr>
                <w:rFonts w:cstheme="minorHAnsi"/>
                <w:b/>
                <w:color w:val="000000" w:themeColor="text1"/>
              </w:rPr>
              <w:t>5</w:t>
            </w:r>
            <w:r w:rsidR="00735023" w:rsidRPr="00F469DF">
              <w:rPr>
                <w:rFonts w:cstheme="minorHAnsi"/>
                <w:b/>
                <w:color w:val="000000" w:themeColor="text1"/>
              </w:rPr>
              <w:t xml:space="preserve"> July 201</w:t>
            </w:r>
            <w:r w:rsidR="00763C8D">
              <w:rPr>
                <w:rFonts w:cstheme="minorHAnsi"/>
                <w:b/>
                <w:color w:val="000000" w:themeColor="text1"/>
              </w:rPr>
              <w:t>9</w:t>
            </w:r>
            <w:r w:rsidRPr="00F469DF">
              <w:rPr>
                <w:rFonts w:cstheme="minorHAnsi"/>
                <w:b/>
                <w:color w:val="000000" w:themeColor="text1"/>
              </w:rPr>
              <w:t>.</w:t>
            </w:r>
          </w:p>
          <w:p w:rsidR="008F283F" w:rsidRPr="00F469DF" w:rsidRDefault="008F283F" w:rsidP="008F283F">
            <w:pPr>
              <w:rPr>
                <w:rFonts w:cstheme="minorHAnsi"/>
                <w:b/>
                <w:color w:val="000000" w:themeColor="text1"/>
              </w:rPr>
            </w:pPr>
            <w:bookmarkStart w:id="0" w:name="_GoBack"/>
            <w:bookmarkEnd w:id="0"/>
          </w:p>
          <w:p w:rsidR="000C352E" w:rsidRPr="00F469DF" w:rsidRDefault="000C352E" w:rsidP="008F283F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070F1" w:rsidRPr="00F469DF" w:rsidTr="00D44299">
        <w:tc>
          <w:tcPr>
            <w:tcW w:w="9026" w:type="dxa"/>
            <w:gridSpan w:val="2"/>
          </w:tcPr>
          <w:p w:rsidR="00E070F1" w:rsidRPr="00F469DF" w:rsidRDefault="00E070F1" w:rsidP="00DE30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b/>
                <w:color w:val="D60B52"/>
                <w:sz w:val="22"/>
                <w:szCs w:val="22"/>
              </w:rPr>
              <w:lastRenderedPageBreak/>
              <w:t>Call for Papers Timeline</w:t>
            </w:r>
            <w:r w:rsidR="00DC219B" w:rsidRPr="00F469DF">
              <w:rPr>
                <w:rFonts w:asciiTheme="minorHAnsi" w:hAnsiTheme="minorHAnsi" w:cstheme="minorHAnsi"/>
                <w:b/>
                <w:color w:val="D60B52"/>
                <w:sz w:val="22"/>
                <w:szCs w:val="22"/>
              </w:rPr>
              <w:t>:</w:t>
            </w:r>
          </w:p>
        </w:tc>
      </w:tr>
      <w:tr w:rsidR="00E30BE9" w:rsidRPr="00F469DF" w:rsidTr="0082501A">
        <w:tc>
          <w:tcPr>
            <w:tcW w:w="2996" w:type="dxa"/>
          </w:tcPr>
          <w:p w:rsidR="00E070F1" w:rsidRPr="00960D38" w:rsidRDefault="00735023" w:rsidP="007350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May 201</w:t>
            </w:r>
            <w:r w:rsidR="006C0C7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030" w:type="dxa"/>
          </w:tcPr>
          <w:p w:rsidR="00E070F1" w:rsidRPr="00960D38" w:rsidRDefault="00E070F1" w:rsidP="00E070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Call for papers announcement</w:t>
            </w:r>
          </w:p>
        </w:tc>
      </w:tr>
      <w:tr w:rsidR="00E30BE9" w:rsidRPr="00F469DF" w:rsidTr="0082501A">
        <w:tc>
          <w:tcPr>
            <w:tcW w:w="2996" w:type="dxa"/>
          </w:tcPr>
          <w:p w:rsidR="00E070F1" w:rsidRPr="00960D38" w:rsidRDefault="005B4F56" w:rsidP="00763C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="Calibri"/>
                <w:b/>
                <w:sz w:val="22"/>
                <w:szCs w:val="22"/>
              </w:rPr>
              <w:t xml:space="preserve">17:00, </w:t>
            </w:r>
            <w:r w:rsidR="00763C8D" w:rsidRPr="00960D38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735023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201</w:t>
            </w:r>
            <w:r w:rsidR="00763C8D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030" w:type="dxa"/>
          </w:tcPr>
          <w:p w:rsidR="00E070F1" w:rsidRPr="00960D38" w:rsidRDefault="00E070F1" w:rsidP="00E070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Deadline for submissions</w:t>
            </w:r>
          </w:p>
        </w:tc>
      </w:tr>
      <w:tr w:rsidR="00E070F1" w:rsidRPr="00F469DF" w:rsidTr="0082501A">
        <w:tc>
          <w:tcPr>
            <w:tcW w:w="2996" w:type="dxa"/>
          </w:tcPr>
          <w:p w:rsidR="00E070F1" w:rsidRPr="00960D38" w:rsidRDefault="00763C8D" w:rsidP="00763C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E070F1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35023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July </w:t>
            </w:r>
            <w:r w:rsidR="00E30BE9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B84AFF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</w:t>
            </w:r>
            <w:r w:rsidR="00E070F1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030" w:type="dxa"/>
          </w:tcPr>
          <w:p w:rsidR="00E070F1" w:rsidRPr="00960D38" w:rsidRDefault="00E070F1" w:rsidP="00DF42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Review of submissions</w:t>
            </w:r>
          </w:p>
        </w:tc>
      </w:tr>
      <w:tr w:rsidR="00E30BE9" w:rsidRPr="00F469DF" w:rsidTr="0082501A">
        <w:tc>
          <w:tcPr>
            <w:tcW w:w="2996" w:type="dxa"/>
          </w:tcPr>
          <w:p w:rsidR="00E070F1" w:rsidRPr="00960D38" w:rsidRDefault="008F283F" w:rsidP="00763C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806A0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</w:t>
            </w:r>
            <w:r w:rsidR="00763C8D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9 August 2019</w:t>
            </w:r>
          </w:p>
        </w:tc>
        <w:tc>
          <w:tcPr>
            <w:tcW w:w="6030" w:type="dxa"/>
          </w:tcPr>
          <w:p w:rsidR="00E070F1" w:rsidRPr="00960D38" w:rsidRDefault="00E070F1" w:rsidP="00E070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Notification of successful submissions</w:t>
            </w:r>
          </w:p>
        </w:tc>
      </w:tr>
      <w:tr w:rsidR="00B806A0" w:rsidRPr="00F469DF" w:rsidTr="0082501A">
        <w:tc>
          <w:tcPr>
            <w:tcW w:w="2996" w:type="dxa"/>
          </w:tcPr>
          <w:p w:rsidR="00B806A0" w:rsidRPr="00960D38" w:rsidRDefault="00B806A0" w:rsidP="00763C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  <w:r w:rsidR="00763C8D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735023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August 201</w:t>
            </w:r>
            <w:r w:rsidR="00763C8D"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030" w:type="dxa"/>
          </w:tcPr>
          <w:p w:rsidR="00B806A0" w:rsidRPr="00960D38" w:rsidRDefault="00B806A0" w:rsidP="00E070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38">
              <w:rPr>
                <w:rFonts w:asciiTheme="minorHAnsi" w:hAnsiTheme="minorHAnsi" w:cstheme="minorHAnsi"/>
                <w:b/>
                <w:sz w:val="22"/>
                <w:szCs w:val="22"/>
              </w:rPr>
              <w:t>Notification of unsuccessful submissions</w:t>
            </w:r>
          </w:p>
        </w:tc>
      </w:tr>
      <w:tr w:rsidR="00E070F1" w:rsidRPr="00F469DF" w:rsidTr="00D44299">
        <w:tc>
          <w:tcPr>
            <w:tcW w:w="9026" w:type="dxa"/>
            <w:gridSpan w:val="2"/>
          </w:tcPr>
          <w:p w:rsidR="00E070F1" w:rsidRPr="00F469DF" w:rsidRDefault="00E070F1" w:rsidP="00B806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ECA" w:rsidRPr="00F469DF" w:rsidTr="00D44299">
        <w:tc>
          <w:tcPr>
            <w:tcW w:w="9026" w:type="dxa"/>
            <w:gridSpan w:val="2"/>
          </w:tcPr>
          <w:p w:rsidR="001852C2" w:rsidRPr="00F469DF" w:rsidRDefault="001852C2" w:rsidP="001852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D60B52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b/>
                <w:color w:val="D60B52"/>
                <w:sz w:val="22"/>
                <w:szCs w:val="22"/>
              </w:rPr>
              <w:t>Assessment scheme:</w:t>
            </w:r>
          </w:p>
          <w:p w:rsidR="001852C2" w:rsidRPr="00F469DF" w:rsidRDefault="001852C2" w:rsidP="001852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A small panel of experts will examine the submissions during </w:t>
            </w:r>
            <w:r w:rsidR="0097587A" w:rsidRPr="00F469DF">
              <w:rPr>
                <w:rFonts w:asciiTheme="minorHAnsi" w:hAnsiTheme="minorHAnsi" w:cstheme="minorHAnsi"/>
                <w:sz w:val="22"/>
                <w:szCs w:val="22"/>
              </w:rPr>
              <w:t>July 201</w:t>
            </w:r>
            <w:r w:rsidR="00763C8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 and will be looking at:</w:t>
            </w:r>
          </w:p>
          <w:p w:rsidR="001852C2" w:rsidRPr="00F469DF" w:rsidRDefault="001852C2" w:rsidP="001852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Relevance to the theme identified and overall conference theme (</w:t>
            </w:r>
            <w:r w:rsidR="00763C8D" w:rsidRPr="00763C8D">
              <w:rPr>
                <w:rFonts w:asciiTheme="minorHAnsi" w:hAnsiTheme="minorHAnsi" w:cstheme="minorHAnsi"/>
                <w:sz w:val="22"/>
                <w:szCs w:val="22"/>
              </w:rPr>
              <w:t>Citizen Powered Communities)</w:t>
            </w:r>
          </w:p>
          <w:p w:rsidR="001852C2" w:rsidRPr="00F469DF" w:rsidRDefault="001852C2" w:rsidP="001852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Quality of submission and content</w:t>
            </w:r>
          </w:p>
          <w:p w:rsidR="001852C2" w:rsidRPr="00F469DF" w:rsidRDefault="001852C2" w:rsidP="001852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Contribution to future overall practice</w:t>
            </w:r>
          </w:p>
          <w:p w:rsidR="001852C2" w:rsidRPr="00F469DF" w:rsidRDefault="001852C2" w:rsidP="001852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 xml:space="preserve">Innovation </w:t>
            </w:r>
          </w:p>
          <w:p w:rsidR="001852C2" w:rsidRPr="00F469DF" w:rsidRDefault="001852C2" w:rsidP="001852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9DF">
              <w:rPr>
                <w:rFonts w:asciiTheme="minorHAnsi" w:hAnsiTheme="minorHAnsi" w:cstheme="minorHAnsi"/>
                <w:sz w:val="22"/>
                <w:szCs w:val="22"/>
              </w:rPr>
              <w:t>Benefits and costs</w:t>
            </w:r>
          </w:p>
          <w:p w:rsidR="0082501A" w:rsidRPr="00F469DF" w:rsidRDefault="0082501A" w:rsidP="00D4429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01A" w:rsidRPr="00F469DF" w:rsidRDefault="0082501A" w:rsidP="0082501A">
            <w:r w:rsidRPr="00F469DF">
              <w:rPr>
                <w:b/>
              </w:rPr>
              <w:t>Please note:</w:t>
            </w:r>
            <w:r w:rsidRPr="00F469DF">
              <w:t xml:space="preserve"> </w:t>
            </w:r>
          </w:p>
          <w:p w:rsidR="0082501A" w:rsidRPr="00960D38" w:rsidRDefault="005A425A" w:rsidP="00960D38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  <w:u w:val="single"/>
              </w:rPr>
            </w:pPr>
            <w:r w:rsidRPr="00F469DF">
              <w:rPr>
                <w:b/>
              </w:rPr>
              <w:t>Submissions accepted</w:t>
            </w:r>
            <w:r w:rsidR="00EE0E9D">
              <w:rPr>
                <w:b/>
              </w:rPr>
              <w:t xml:space="preserve"> </w:t>
            </w:r>
            <w:r w:rsidRPr="00F469DF">
              <w:t>–</w:t>
            </w:r>
            <w:r w:rsidR="0082501A" w:rsidRPr="00F469DF">
              <w:t xml:space="preserve"> </w:t>
            </w:r>
            <w:r w:rsidRPr="00F469DF">
              <w:t xml:space="preserve">If you are successful in your submission you will be </w:t>
            </w:r>
            <w:r w:rsidR="00960D38">
              <w:t xml:space="preserve">allocated </w:t>
            </w:r>
            <w:r w:rsidRPr="00F469DF">
              <w:t>a 15 minute speaking slot as part of an hour long theme</w:t>
            </w:r>
            <w:r w:rsidR="008135FB" w:rsidRPr="00F469DF">
              <w:t>d</w:t>
            </w:r>
            <w:r w:rsidRPr="00F469DF">
              <w:t xml:space="preserve"> breakout session. Your session could be on either day of the conference and </w:t>
            </w:r>
            <w:r w:rsidR="0082501A" w:rsidRPr="00F469DF">
              <w:t xml:space="preserve">slides used during your presentation </w:t>
            </w:r>
            <w:r w:rsidRPr="00F469DF">
              <w:t>will</w:t>
            </w:r>
            <w:r w:rsidR="0082501A" w:rsidRPr="00F469DF">
              <w:t xml:space="preserve"> be made available on </w:t>
            </w:r>
            <w:r w:rsidR="00475065" w:rsidRPr="00F469DF">
              <w:t xml:space="preserve">the </w:t>
            </w:r>
            <w:r w:rsidR="00EE0E9D">
              <w:t>TSA website after the event. P</w:t>
            </w:r>
            <w:r w:rsidR="0082501A" w:rsidRPr="00F469DF">
              <w:t xml:space="preserve">resenters must be registered and pay any applicable attendance fees. </w:t>
            </w:r>
            <w:r w:rsidR="00960D38">
              <w:t xml:space="preserve">Following the conference, a </w:t>
            </w:r>
            <w:r w:rsidR="00EE0E9D">
              <w:t xml:space="preserve">selected number of submissions may be selected to be written up as a case study </w:t>
            </w:r>
            <w:r w:rsidR="00960D38">
              <w:t>and featured on the TSA website.</w:t>
            </w:r>
          </w:p>
          <w:p w:rsidR="00960D38" w:rsidRPr="00F469DF" w:rsidRDefault="00960D38" w:rsidP="00960D38">
            <w:pPr>
              <w:pStyle w:val="ListParagraph"/>
              <w:shd w:val="clear" w:color="auto" w:fill="FFFFFF"/>
              <w:rPr>
                <w:rFonts w:cstheme="minorHAnsi"/>
                <w:b/>
                <w:u w:val="single"/>
              </w:rPr>
            </w:pPr>
          </w:p>
        </w:tc>
      </w:tr>
    </w:tbl>
    <w:p w:rsidR="0064486B" w:rsidRPr="00F469DF" w:rsidRDefault="0064486B" w:rsidP="006448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5472A" w:rsidRPr="00F469DF" w:rsidRDefault="00F5472A" w:rsidP="006448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4486B" w:rsidRPr="00F469DF" w:rsidRDefault="0064486B" w:rsidP="006448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64C9A" w:rsidRPr="00F469DF" w:rsidRDefault="00B64C9A" w:rsidP="006448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B64C9A" w:rsidRPr="00F469DF" w:rsidSect="00EA3E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79" w:rsidRDefault="00552279" w:rsidP="001E4D4F">
      <w:pPr>
        <w:spacing w:after="0" w:line="240" w:lineRule="auto"/>
      </w:pPr>
      <w:r>
        <w:separator/>
      </w:r>
    </w:p>
  </w:endnote>
  <w:endnote w:type="continuationSeparator" w:id="0">
    <w:p w:rsidR="00552279" w:rsidRDefault="00552279" w:rsidP="001E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79" w:rsidRDefault="00552279" w:rsidP="001E4D4F">
      <w:pPr>
        <w:spacing w:after="0" w:line="240" w:lineRule="auto"/>
      </w:pPr>
      <w:r>
        <w:separator/>
      </w:r>
    </w:p>
  </w:footnote>
  <w:footnote w:type="continuationSeparator" w:id="0">
    <w:p w:rsidR="00552279" w:rsidRDefault="00552279" w:rsidP="001E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E2A"/>
    <w:multiLevelType w:val="hybridMultilevel"/>
    <w:tmpl w:val="C6E27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11161"/>
    <w:multiLevelType w:val="hybridMultilevel"/>
    <w:tmpl w:val="CBEA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6D41"/>
    <w:multiLevelType w:val="hybridMultilevel"/>
    <w:tmpl w:val="6132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66B1"/>
    <w:multiLevelType w:val="hybridMultilevel"/>
    <w:tmpl w:val="A70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DE9"/>
    <w:multiLevelType w:val="hybridMultilevel"/>
    <w:tmpl w:val="3D484B52"/>
    <w:lvl w:ilvl="0" w:tplc="31585F0C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6C390C"/>
    <w:multiLevelType w:val="hybridMultilevel"/>
    <w:tmpl w:val="9E8E2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F3996"/>
    <w:multiLevelType w:val="hybridMultilevel"/>
    <w:tmpl w:val="E0C6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C228E"/>
    <w:multiLevelType w:val="hybridMultilevel"/>
    <w:tmpl w:val="ABF0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A4D09"/>
    <w:multiLevelType w:val="hybridMultilevel"/>
    <w:tmpl w:val="4A0C0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9059C"/>
    <w:multiLevelType w:val="hybridMultilevel"/>
    <w:tmpl w:val="BB486E7C"/>
    <w:lvl w:ilvl="0" w:tplc="EE5E2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55EB"/>
    <w:multiLevelType w:val="hybridMultilevel"/>
    <w:tmpl w:val="AD20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6B"/>
    <w:rsid w:val="0000689A"/>
    <w:rsid w:val="000449DE"/>
    <w:rsid w:val="00045507"/>
    <w:rsid w:val="000C116B"/>
    <w:rsid w:val="000C352E"/>
    <w:rsid w:val="00117A5E"/>
    <w:rsid w:val="00124BE2"/>
    <w:rsid w:val="0012768B"/>
    <w:rsid w:val="001852C2"/>
    <w:rsid w:val="001A68CF"/>
    <w:rsid w:val="001B08DD"/>
    <w:rsid w:val="001B315E"/>
    <w:rsid w:val="001B51A1"/>
    <w:rsid w:val="001E4D4F"/>
    <w:rsid w:val="001F084E"/>
    <w:rsid w:val="00262B13"/>
    <w:rsid w:val="002C475E"/>
    <w:rsid w:val="002D20BD"/>
    <w:rsid w:val="002D7EAC"/>
    <w:rsid w:val="002F2E7B"/>
    <w:rsid w:val="00302134"/>
    <w:rsid w:val="003735FB"/>
    <w:rsid w:val="003F0714"/>
    <w:rsid w:val="00453229"/>
    <w:rsid w:val="00475065"/>
    <w:rsid w:val="00512FBB"/>
    <w:rsid w:val="0055151E"/>
    <w:rsid w:val="00552279"/>
    <w:rsid w:val="00590A10"/>
    <w:rsid w:val="005A425A"/>
    <w:rsid w:val="005B0B06"/>
    <w:rsid w:val="005B1399"/>
    <w:rsid w:val="005B4F56"/>
    <w:rsid w:val="005F6ADF"/>
    <w:rsid w:val="00611AB2"/>
    <w:rsid w:val="00620F3F"/>
    <w:rsid w:val="0064486B"/>
    <w:rsid w:val="00665425"/>
    <w:rsid w:val="006C0C7C"/>
    <w:rsid w:val="006C5838"/>
    <w:rsid w:val="006D3F55"/>
    <w:rsid w:val="00732149"/>
    <w:rsid w:val="00735023"/>
    <w:rsid w:val="007570BF"/>
    <w:rsid w:val="00763C8D"/>
    <w:rsid w:val="00775F64"/>
    <w:rsid w:val="007826D9"/>
    <w:rsid w:val="00797C39"/>
    <w:rsid w:val="008135FB"/>
    <w:rsid w:val="0082501A"/>
    <w:rsid w:val="0088251A"/>
    <w:rsid w:val="008846F7"/>
    <w:rsid w:val="008D2F16"/>
    <w:rsid w:val="008F283F"/>
    <w:rsid w:val="00940D1E"/>
    <w:rsid w:val="00960D38"/>
    <w:rsid w:val="0097587A"/>
    <w:rsid w:val="00A829CA"/>
    <w:rsid w:val="00A94549"/>
    <w:rsid w:val="00AC46F3"/>
    <w:rsid w:val="00AD7639"/>
    <w:rsid w:val="00B26C79"/>
    <w:rsid w:val="00B43875"/>
    <w:rsid w:val="00B64C9A"/>
    <w:rsid w:val="00B806A0"/>
    <w:rsid w:val="00B84AFF"/>
    <w:rsid w:val="00BC0D7B"/>
    <w:rsid w:val="00C20F59"/>
    <w:rsid w:val="00C359F5"/>
    <w:rsid w:val="00C42B41"/>
    <w:rsid w:val="00CA6FC9"/>
    <w:rsid w:val="00CD76B0"/>
    <w:rsid w:val="00D05125"/>
    <w:rsid w:val="00D233D9"/>
    <w:rsid w:val="00D44299"/>
    <w:rsid w:val="00DC1759"/>
    <w:rsid w:val="00DC219B"/>
    <w:rsid w:val="00DE3047"/>
    <w:rsid w:val="00DF42FB"/>
    <w:rsid w:val="00E070F1"/>
    <w:rsid w:val="00E30BE9"/>
    <w:rsid w:val="00E43E82"/>
    <w:rsid w:val="00E975C7"/>
    <w:rsid w:val="00EA3ECA"/>
    <w:rsid w:val="00EE0E9D"/>
    <w:rsid w:val="00F3592A"/>
    <w:rsid w:val="00F469DF"/>
    <w:rsid w:val="00F52A31"/>
    <w:rsid w:val="00F5472A"/>
    <w:rsid w:val="00F61324"/>
    <w:rsid w:val="00F8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A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E4D4F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4D4F"/>
    <w:rPr>
      <w:rFonts w:ascii="Calibri" w:eastAsiaTheme="minorEastAsia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E4D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4D4F"/>
    <w:rPr>
      <w:color w:val="0563C1" w:themeColor="hyperlink"/>
      <w:u w:val="single"/>
    </w:rPr>
  </w:style>
  <w:style w:type="paragraph" w:customStyle="1" w:styleId="Default">
    <w:name w:val="Default"/>
    <w:rsid w:val="001E4D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E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D442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6C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8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cconf.org.uk/call-for-pap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Clark</dc:creator>
  <cp:keywords/>
  <dc:description/>
  <cp:lastModifiedBy>alan.williamson</cp:lastModifiedBy>
  <cp:revision>37</cp:revision>
  <cp:lastPrinted>2019-05-21T13:01:00Z</cp:lastPrinted>
  <dcterms:created xsi:type="dcterms:W3CDTF">2017-03-15T16:21:00Z</dcterms:created>
  <dcterms:modified xsi:type="dcterms:W3CDTF">2019-05-24T12:05:00Z</dcterms:modified>
</cp:coreProperties>
</file>